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CBA" w:rsidRPr="005A50BD" w:rsidRDefault="00D027DF" w:rsidP="00C75CBA">
      <w:pPr>
        <w:widowControl w:val="0"/>
        <w:spacing w:before="120" w:after="240" w:line="240" w:lineRule="auto"/>
        <w:outlineLvl w:val="1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iCs/>
          <w:sz w:val="24"/>
          <w:szCs w:val="24"/>
          <w:lang w:eastAsia="ru-RU"/>
        </w:rPr>
        <w:t>6.2</w:t>
      </w:r>
      <w:r w:rsidR="00D70FED">
        <w:rPr>
          <w:rFonts w:ascii="Times New Roman" w:eastAsia="Times New Roman" w:hAnsi="Times New Roman" w:cs="Arial"/>
          <w:b/>
          <w:iCs/>
          <w:sz w:val="24"/>
          <w:szCs w:val="24"/>
          <w:lang w:eastAsia="ru-RU"/>
        </w:rPr>
        <w:t xml:space="preserve"> </w:t>
      </w:r>
      <w:r w:rsidRPr="00D027DF">
        <w:rPr>
          <w:rFonts w:ascii="Times New Roman" w:hAnsi="Times New Roman" w:cs="Times New Roman"/>
          <w:b/>
          <w:sz w:val="24"/>
          <w:szCs w:val="24"/>
        </w:rPr>
        <w:t>Мероприятия по предупреждению и борьбе с осложнениями при эксплуатации скважин и промысловых объектов</w:t>
      </w:r>
    </w:p>
    <w:p w:rsid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50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Осложняющими факторами эксплуатации скважин на месторождения</w:t>
      </w:r>
      <w:r w:rsidRPr="005A50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 </w:t>
      </w:r>
      <w:r w:rsidRPr="005A5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</w:t>
      </w:r>
      <w:proofErr w:type="spellStart"/>
      <w:r w:rsidRPr="005A50B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асфальто</w:t>
      </w:r>
      <w:proofErr w:type="spellEnd"/>
      <w:r w:rsidRPr="005A50BD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-смолистые парафиновые отложения (АСПО)</w:t>
      </w:r>
      <w:r w:rsidRPr="005A5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</w:t>
      </w:r>
      <w:proofErr w:type="spellStart"/>
      <w:r w:rsidRPr="005A5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призабойной</w:t>
      </w:r>
      <w:proofErr w:type="spellEnd"/>
      <w:r w:rsidRPr="005A5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зоне скважины (ПЗС), в наземном и подземном нефтепромысловом оборудовании,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пескопроявления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5A5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также коррозия промыслового оборудования.</w:t>
      </w:r>
      <w:r w:rsidRPr="00C75CBA">
        <w:rPr>
          <w:rFonts w:ascii="Times New Roman" w:hAnsi="Times New Roman" w:cs="Times New Roman"/>
          <w:sz w:val="24"/>
          <w:szCs w:val="24"/>
        </w:rPr>
        <w:t xml:space="preserve"> 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Возникновение осложнений приводит к снижению дебита скважин, преждевременному выходу из строя дорогостоящего оборудования и дополнительным эксплуатационным затратам на ремонт скважи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</w:t>
      </w:r>
    </w:p>
    <w:p w:rsidR="00C75CBA" w:rsidRPr="00D70FED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по борьбе с коррозией</w:t>
      </w:r>
    </w:p>
    <w:p w:rsidR="00C75CBA" w:rsidRP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классификации, В. А. Сулина подземные воды представляют собой крепкие рассолы хлоркальциевого типа, жесткие, слабометаморфизованные. Коэффициент метаморфизации (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rNa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+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rCl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равен 0,95 - 0,98. Величина общей минерализации изменяется от 181,4 до 203,5 г/дм3, в среднем составляя 192,8 г/дм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Плотность пластовых вод имеют значения от 1,126 до 1,136 г/см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Общая жёсткость воды в среднем равна 149,2 мг-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экв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/дм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pH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среды вод меняется от слабокислой – 6 до слабощелочной – 7,6. Минерализация пластовых вод возрастает с глубиной с сохранением хлоридно-натриевого состава воды. Микроэлементный состав пластовых вод представлен непромышленным содержанием йода – до 4, </w:t>
      </w:r>
    </w:p>
    <w:p w:rsidR="00C75CBA" w:rsidRP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минерализованной пластовой воды уровень коррозии будет зависеть от состава и содержания коррозионно-активных компонентов, таких как хлорид-ионы, бикарбонат-ионы и рН. Высокая коррозионная активность соответствует значениям хлорид-ионов свыше пороговых в 50 мг/л в интервале значений рН 4.5-8.5. 3 мг/ дм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брома – до 98 мг/ дм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 факторам, отрицательно влияющих на стабильную работу скважин, относится содержание песка в скважинной продукции. Эрозионные (механические) процессы, вызываемые выносом механических примесей (песка), при наличии агрессивной среды рассматриваются как фактор, стимулирующий коррозионный износ (эрозионная коррозия) оборудования скважин и трубопроводных коммуникаций системы сбора продукции. </w:t>
      </w:r>
    </w:p>
    <w:p w:rsidR="00C75CBA" w:rsidRP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Коррозионный мониторинг должен включать применение технологических мер по защите от коррозии подземного оборудования скважин и системы сбора и подготовки продукции скважин. Технологические методы защиты представляют собой комплекс мероприятий, включающих применение герметизированных систем производства; эксплуатацию трубопроводов систем сбора, транспортирующих обводненную нефть, со скоростями выше критических, при которых не происходит выделения водной фазы в виде водных скоплений или подвижного слоя и др.</w:t>
      </w:r>
      <w:r w:rsidRPr="00C75CB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явлениях выноса песка 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необходимо предусмотреть мероприятия по его предупреждению, или сведению выноса песка до уровня, когда с помощью технологических методов можно обеспечить антикоррозионный режим движения флюида. </w:t>
      </w:r>
    </w:p>
    <w:p w:rsidR="00C75CBA" w:rsidRP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Специальный метод защиты от коррозии - химическое ингибирование - рекомендуется на стадии обводнения продукции скважин. Применение химического ингибирования коррозии по ряду причин особенно эффективно. Ингибиторы могут быть поданы в агрессивную среду в любом желаемом месте функционирующей системы без существенного изменения технологического процесса добычи. </w:t>
      </w:r>
    </w:p>
    <w:p w:rsidR="00C75CBA" w:rsidRP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химическом ингибировании обязателен тщательный подбор ингибиторов с учетом их совместимости с технологическими процессами подготовки и переработки продукции, при осуществлении которых применяются химические реагенты различного класса. Необходимо проведение предварительных испытаний ингибиторов в промысловых условиях с целью определения эффективности защиты и соответствия эксплуатационным и технологическим требованиям.</w:t>
      </w:r>
    </w:p>
    <w:p w:rsidR="00C75CBA" w:rsidRP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настоящее время ассортимент предлагаемых ингибиторов обеспечивает большой выбор реагентов для различных условий эксплуатации.</w:t>
      </w:r>
    </w:p>
    <w:p w:rsidR="00C75CBA" w:rsidRPr="00C75CBA" w:rsidRDefault="00C75CBA" w:rsidP="00C75CBA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Выбранный реагент должен обладать комплексным действием: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деэмульгатор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ингибитор АСПО – ингибитор коррозии (типа С-4271М). Добавки в поток химических реагентов способствуют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гидрофилизации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стенок труб, увеличения числа центров кристаллизации парафина в потоке, повышению дисперсности частиц парафина в нефти. Для приготовления и дозировки хим. реагентов рекомендуются дозировочные насосы типа НД. Вводить реагенты рекомендуется устьевыми дозирующими насосами в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затрубное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пространство.</w:t>
      </w:r>
    </w:p>
    <w:p w:rsidR="00C75CBA" w:rsidRPr="005A50BD" w:rsidRDefault="00C75CBA" w:rsidP="00971989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предотвращений аварий и нарушений эксплуатации обсадных колонн и НКТ от коррозии, можно пользоваться периодической или непрерывной подачей ингибиторы коррозии типа РАНКОР-1105 ТОО «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Рауан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Налко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Ингибитор коррозии РАНКОР- 1105 - предназначен для коррозионной защиты наземного оборудования и коллекторов системы водоподготовки начиная от трехфазных сепараторов на ЦППН, УПСВ, УПН до технологических линии и оборудований ЦППД (БКНС), а также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внутрипромысловых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коллекторов транспортирующие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высокообводненную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жидкость.</w:t>
      </w:r>
    </w:p>
    <w:p w:rsidR="00C75CBA" w:rsidRPr="00D70FED" w:rsidRDefault="00C75CBA" w:rsidP="00C75CBA">
      <w:pPr>
        <w:widowControl w:val="0"/>
        <w:spacing w:before="120"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Мероприятия по борьбе с АСПО</w:t>
      </w:r>
    </w:p>
    <w:p w:rsidR="00C75CBA" w:rsidRPr="00C75CBA" w:rsidRDefault="00C75CBA" w:rsidP="00C75CB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Нефти месторождения Гран характеризуются как малосернистые,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малопарафиновые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смолистые и малосмолистые. Содержание серы 0,24 %, смол 4,42 %,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>асфальтенов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0,1 %, парафина 2,15 %. Нефть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среднеальбского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горизонта по сравнению с нефтью </w:t>
      </w:r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среднеюрских горизонтов является более тяжелой (плотность 0,9253 г/см</w:t>
      </w:r>
      <w:r w:rsidRPr="00C75CBA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3</w:t>
      </w:r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), вязкость при 500С 107,2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>сСт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>серно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кислотных смол 25 %, малосернистая (0,45 %),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малопарафиновая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(0,75 %).</w:t>
      </w:r>
    </w:p>
    <w:p w:rsidR="00C75CBA" w:rsidRPr="00C75CBA" w:rsidRDefault="00C75CBA" w:rsidP="00C75C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борьбы со смолистыми отложениями существуют два принципиальных подхода, как на предупреждение образования их, так и на удаление уже образовавшихся отложений.</w:t>
      </w:r>
    </w:p>
    <w:p w:rsidR="00C75CBA" w:rsidRPr="00C75CBA" w:rsidRDefault="00C75CBA" w:rsidP="00C75C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Первый подход базируется на создании условий в процессе работы скважины, исключающих формирование смолистых отложений или облегчающих их срыв с внутренней поверхности подъемника.</w:t>
      </w:r>
    </w:p>
    <w:p w:rsidR="00C75CBA" w:rsidRPr="00C75CBA" w:rsidRDefault="00C75CBA" w:rsidP="00C75C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Данный метод включает следующие методы: снижение шероховатости внутренней поверхности НКТ путем нанесения на нее стекла, эмали, эпоксидной смолы или специальных лаков, которые приводят к </w:t>
      </w:r>
      <w:proofErr w:type="spellStart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гидрофилизации</w:t>
      </w:r>
      <w:proofErr w:type="spellEnd"/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внутренней поверхности подъемника, которые препятствуют росту кристаллов парафина, их слипанию и образованию твердой фазы, и последующим их отложениям на стенках НКТ.</w:t>
      </w:r>
    </w:p>
    <w:p w:rsidR="00C75CBA" w:rsidRPr="00C75CBA" w:rsidRDefault="00C75CBA" w:rsidP="00C75C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Второй подход является широко распространенным и делится на несколько методов:</w:t>
      </w:r>
    </w:p>
    <w:p w:rsidR="00C75CBA" w:rsidRPr="00C75CBA" w:rsidRDefault="00C75CBA" w:rsidP="00C75C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Механический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использование различных по конструкции и форме скребков, спускаемых в НКТ на проволоке;</w:t>
      </w:r>
    </w:p>
    <w:p w:rsidR="00C75CBA" w:rsidRPr="00C75CBA" w:rsidRDefault="00C75CBA" w:rsidP="00C75C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Тепловой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закачка в скважину теплоносителя;</w:t>
      </w:r>
    </w:p>
    <w:p w:rsidR="00C75CBA" w:rsidRPr="00C75CBA" w:rsidRDefault="00C75CBA" w:rsidP="00C75C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Химический</w:t>
      </w:r>
      <w:r w:rsidRPr="00C75C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использование различных растворителей парафиновых отложений, закачиваемых в скважину. </w:t>
      </w:r>
    </w:p>
    <w:p w:rsidR="00C75CBA" w:rsidRPr="00C75CBA" w:rsidRDefault="00C75CBA" w:rsidP="00C75CB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для борьбы с образованием смолистых отложений на месторождении Гран проводить обработку скважин горячей нефтью, используя агрегаты типа АДПН -12/150-У1. Так по месторождению Гран в 2018 г. </w:t>
      </w:r>
      <w:r w:rsidR="004D72FE" w:rsidRPr="004D72F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595E">
        <w:rPr>
          <w:rFonts w:ascii="Times New Roman" w:eastAsia="Times New Roman" w:hAnsi="Times New Roman" w:cs="Times New Roman"/>
          <w:sz w:val="24"/>
          <w:szCs w:val="24"/>
          <w:lang w:eastAsia="ru-RU"/>
        </w:rPr>
        <w:t>6 скважин-операции</w:t>
      </w:r>
      <w:r w:rsidR="004D7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2019г. - </w:t>
      </w:r>
      <w:r w:rsidR="006359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D7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2020г. -</w:t>
      </w:r>
      <w:r w:rsidR="009E7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11, за 2021г. были проведены 12 </w:t>
      </w:r>
      <w:proofErr w:type="spellStart"/>
      <w:r w:rsidR="00635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</w:t>
      </w:r>
      <w:proofErr w:type="spellEnd"/>
      <w:r w:rsidR="0063595E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-операции.</w:t>
      </w: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проведенных работ приведены ниже.</w:t>
      </w:r>
    </w:p>
    <w:p w:rsidR="00971989" w:rsidRPr="00C75CBA" w:rsidRDefault="00D027DF" w:rsidP="00C75CBA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6.2</w:t>
      </w:r>
      <w:r w:rsidR="00C75CBA"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.1 – Результаты проведения обработки </w:t>
      </w:r>
      <w:proofErr w:type="spellStart"/>
      <w:r w:rsidR="00C75CBA"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призабойной</w:t>
      </w:r>
      <w:proofErr w:type="spellEnd"/>
      <w:r w:rsidR="00C75CBA"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зоны ОГН </w:t>
      </w:r>
      <w:r w:rsid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м/р. Гран за 2018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-2021</w:t>
      </w:r>
      <w:r w:rsidR="00C75CBA"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tbl>
      <w:tblPr>
        <w:tblW w:w="9478" w:type="dxa"/>
        <w:tblInd w:w="93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575"/>
        <w:gridCol w:w="1411"/>
        <w:gridCol w:w="999"/>
        <w:gridCol w:w="709"/>
        <w:gridCol w:w="626"/>
        <w:gridCol w:w="713"/>
        <w:gridCol w:w="733"/>
        <w:gridCol w:w="760"/>
        <w:gridCol w:w="713"/>
        <w:gridCol w:w="843"/>
        <w:gridCol w:w="822"/>
      </w:tblGrid>
      <w:tr w:rsidR="0012679A" w:rsidRPr="0012679A" w:rsidTr="00EA65B7">
        <w:trPr>
          <w:trHeight w:val="452"/>
        </w:trPr>
        <w:tc>
          <w:tcPr>
            <w:tcW w:w="574" w:type="dxa"/>
            <w:vMerge w:val="restart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575" w:type="dxa"/>
            <w:vMerge w:val="restart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№№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скв</w:t>
            </w:r>
            <w:proofErr w:type="spellEnd"/>
          </w:p>
        </w:tc>
        <w:tc>
          <w:tcPr>
            <w:tcW w:w="1411" w:type="dxa"/>
            <w:vMerge w:val="restart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Найменование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999" w:type="dxa"/>
            <w:vMerge w:val="restart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пуска</w:t>
            </w:r>
          </w:p>
        </w:tc>
        <w:tc>
          <w:tcPr>
            <w:tcW w:w="2048" w:type="dxa"/>
            <w:gridSpan w:val="3"/>
            <w:vMerge w:val="restart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Дебит до мероприятия</w:t>
            </w:r>
          </w:p>
        </w:tc>
        <w:tc>
          <w:tcPr>
            <w:tcW w:w="2206" w:type="dxa"/>
            <w:gridSpan w:val="3"/>
            <w:vMerge w:val="restart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Дебит после мероприятия</w:t>
            </w:r>
          </w:p>
        </w:tc>
        <w:tc>
          <w:tcPr>
            <w:tcW w:w="1665" w:type="dxa"/>
            <w:gridSpan w:val="2"/>
            <w:vMerge w:val="restart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Первоначальный эффект</w:t>
            </w:r>
          </w:p>
        </w:tc>
      </w:tr>
      <w:tr w:rsidR="0012679A" w:rsidRPr="0012679A" w:rsidTr="00EA65B7">
        <w:trPr>
          <w:trHeight w:val="452"/>
        </w:trPr>
        <w:tc>
          <w:tcPr>
            <w:tcW w:w="574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gridSpan w:val="3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3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3AF6" w:rsidRPr="0012679A" w:rsidTr="00EA65B7">
        <w:trPr>
          <w:trHeight w:val="518"/>
        </w:trPr>
        <w:tc>
          <w:tcPr>
            <w:tcW w:w="574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жидк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., м3/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626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обв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.,%</w:t>
            </w:r>
          </w:p>
        </w:tc>
        <w:tc>
          <w:tcPr>
            <w:tcW w:w="713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нефть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тн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733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жидк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., м3/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обв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.,%</w:t>
            </w:r>
          </w:p>
        </w:tc>
        <w:tc>
          <w:tcPr>
            <w:tcW w:w="713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нефть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тн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843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жидк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., м3/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822" w:type="dxa"/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нефть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тн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</w:tr>
      <w:tr w:rsidR="003D3AF6" w:rsidRPr="0012679A" w:rsidTr="00EA65B7">
        <w:trPr>
          <w:trHeight w:val="311"/>
        </w:trPr>
        <w:tc>
          <w:tcPr>
            <w:tcW w:w="574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1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999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03.03.18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3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84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D3AF6" w:rsidRPr="0012679A" w:rsidTr="00EA65B7">
        <w:trPr>
          <w:trHeight w:val="311"/>
        </w:trPr>
        <w:tc>
          <w:tcPr>
            <w:tcW w:w="574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1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999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13.04.18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6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1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73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1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843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" w:type="dxa"/>
            <w:shd w:val="clear" w:color="000000" w:fill="FFFFFF"/>
            <w:noWrap/>
            <w:vAlign w:val="center"/>
            <w:hideMark/>
          </w:tcPr>
          <w:p w:rsidR="0012679A" w:rsidRPr="00EA65B7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</w:tbl>
    <w:p w:rsidR="00EA65B7" w:rsidRDefault="00EA65B7" w:rsidP="003D3AF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3D3AF6" w:rsidRPr="003D3AF6" w:rsidRDefault="00597BA4" w:rsidP="003D3AF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</w:t>
      </w:r>
      <w:r w:rsidR="003D3A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родолжение</w:t>
      </w:r>
      <w:r w:rsidR="003D3AF6" w:rsidRPr="003D3A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95F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</w:t>
      </w:r>
      <w:r w:rsidR="003D3A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аблиц</w:t>
      </w:r>
      <w:r w:rsidR="00C95F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</w:t>
      </w:r>
      <w:r w:rsidR="00D027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6.2</w:t>
      </w:r>
      <w:r w:rsidR="003D3AF6"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.1</w:t>
      </w:r>
    </w:p>
    <w:tbl>
      <w:tblPr>
        <w:tblW w:w="9516" w:type="dxa"/>
        <w:tblInd w:w="93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1386"/>
        <w:gridCol w:w="1004"/>
        <w:gridCol w:w="723"/>
        <w:gridCol w:w="749"/>
        <w:gridCol w:w="704"/>
        <w:gridCol w:w="723"/>
        <w:gridCol w:w="749"/>
        <w:gridCol w:w="704"/>
        <w:gridCol w:w="830"/>
        <w:gridCol w:w="810"/>
      </w:tblGrid>
      <w:tr w:rsidR="0012679A" w:rsidRPr="0012679A" w:rsidTr="003D3AF6">
        <w:trPr>
          <w:trHeight w:val="305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11.07.18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-0,6</w:t>
            </w:r>
          </w:p>
        </w:tc>
      </w:tr>
      <w:tr w:rsidR="0012679A" w:rsidRPr="0012679A" w:rsidTr="003D3AF6">
        <w:trPr>
          <w:trHeight w:val="305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27.08.18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12679A" w:rsidRPr="0012679A" w:rsidTr="003D3AF6">
        <w:trPr>
          <w:trHeight w:val="305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05.11.18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12679A" w:rsidRPr="0012679A" w:rsidTr="003D3AF6">
        <w:trPr>
          <w:trHeight w:val="305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21.12.18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12679A" w:rsidRPr="0012679A" w:rsidTr="003D3AF6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18.06.19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12679A" w:rsidRPr="0012679A" w:rsidTr="003D3AF6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27.07.19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12679A" w:rsidRPr="0012679A" w:rsidTr="003D3AF6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22.08.19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12679A" w:rsidRPr="0012679A" w:rsidTr="003D3AF6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23.08.19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12679A" w:rsidRPr="0012679A" w:rsidTr="003D3AF6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12679A" w:rsidRPr="004D72FE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12.12.19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EA65B7" w:rsidRPr="0012679A" w:rsidTr="003D3AF6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D72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7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21.12.19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12679A" w:rsidRDefault="00EA65B7" w:rsidP="00EA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A65B7" w:rsidRPr="0012679A" w:rsidTr="004D72FE">
        <w:trPr>
          <w:trHeight w:val="364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21.03.20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5,2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1,7</w:t>
            </w:r>
          </w:p>
        </w:tc>
      </w:tr>
      <w:tr w:rsidR="00EA65B7" w:rsidRPr="0012679A" w:rsidTr="004D72FE">
        <w:trPr>
          <w:trHeight w:val="328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22.03.20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1,7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EA65B7" w:rsidRPr="0012679A" w:rsidTr="004D72FE">
        <w:trPr>
          <w:trHeight w:val="293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9,5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0,7</w:t>
            </w:r>
          </w:p>
        </w:tc>
      </w:tr>
      <w:tr w:rsidR="00EA65B7" w:rsidRPr="0012679A" w:rsidTr="004D72FE">
        <w:trPr>
          <w:trHeight w:val="257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16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08.06.20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4,8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</w:t>
            </w:r>
          </w:p>
        </w:tc>
      </w:tr>
      <w:tr w:rsidR="00EA65B7" w:rsidRPr="0012679A" w:rsidTr="004D72FE">
        <w:trPr>
          <w:trHeight w:val="363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18.07.20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6,5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7,8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1,3</w:t>
            </w:r>
          </w:p>
        </w:tc>
      </w:tr>
      <w:tr w:rsidR="00EA65B7" w:rsidRPr="0012679A" w:rsidTr="004D72FE">
        <w:trPr>
          <w:trHeight w:val="184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18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25.08.20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4,4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2,6</w:t>
            </w:r>
          </w:p>
        </w:tc>
      </w:tr>
      <w:tr w:rsidR="00EA65B7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19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16.09.20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7,3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17,1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9,7</w:t>
            </w:r>
          </w:p>
        </w:tc>
      </w:tr>
      <w:tr w:rsidR="00EA65B7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18.09.20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3,9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</w:t>
            </w:r>
          </w:p>
        </w:tc>
      </w:tr>
      <w:tr w:rsidR="00EA65B7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9,7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10,4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0,7</w:t>
            </w:r>
          </w:p>
        </w:tc>
      </w:tr>
      <w:tr w:rsidR="00EA65B7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24.11.20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6,3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EA65B7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3,9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EA65B7" w:rsidRPr="004D72FE" w:rsidRDefault="00EA65B7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1,8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22.01.21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2,6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3,8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26.01.21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2,1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1,3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28.01.21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1,7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-4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-0,5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28.01.21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2,0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2,0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22.02.21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16,5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17,0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29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23.02.21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3,3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25.03.21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4,4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28.03.21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0,7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0,7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7,3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2,4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2,4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4D72FE" w:rsidRPr="0012679A" w:rsidTr="004D72FE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28.06.21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8,1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4D72FE" w:rsidRPr="0012679A" w:rsidTr="00EA65B7">
        <w:trPr>
          <w:trHeight w:val="32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EA65B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D72F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EA65B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386" w:type="dxa"/>
            <w:shd w:val="clear" w:color="000000" w:fill="FFFFFF"/>
            <w:noWrap/>
            <w:vAlign w:val="center"/>
            <w:hideMark/>
          </w:tcPr>
          <w:p w:rsidR="004D72FE" w:rsidRPr="004D72FE" w:rsidRDefault="004D72FE" w:rsidP="00EA6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</w:t>
            </w:r>
          </w:p>
        </w:tc>
        <w:tc>
          <w:tcPr>
            <w:tcW w:w="1004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21.07.21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2,6</w:t>
            </w:r>
          </w:p>
        </w:tc>
        <w:tc>
          <w:tcPr>
            <w:tcW w:w="723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3,1</w:t>
            </w:r>
          </w:p>
        </w:tc>
        <w:tc>
          <w:tcPr>
            <w:tcW w:w="830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4D72FE" w:rsidRPr="004D72FE" w:rsidRDefault="004D72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72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</w:t>
            </w:r>
          </w:p>
        </w:tc>
      </w:tr>
    </w:tbl>
    <w:p w:rsidR="0012679A" w:rsidRDefault="0012679A" w:rsidP="00C75CB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2FE" w:rsidRPr="004D72FE" w:rsidRDefault="004D72FE" w:rsidP="00C75CB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CBA" w:rsidRDefault="00C75CBA" w:rsidP="00C75CB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возникнут ситуации с выделением смол в большом количестве, то будет необходимо осуществить подачу к устьям скважин химических реагентов. Тип реагентов, </w:t>
      </w: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его расходы, а также способы и периодичность применения подбираются для конкретных условий при дополнительных лабораторных и промысловых исследованиях.</w:t>
      </w:r>
    </w:p>
    <w:p w:rsidR="00C75CBA" w:rsidRPr="00C75CBA" w:rsidRDefault="00C75CBA" w:rsidP="00C75CB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CBA" w:rsidRPr="00D70FED" w:rsidRDefault="00C75CBA" w:rsidP="00C75C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Методы по борьбе с </w:t>
      </w:r>
      <w:proofErr w:type="spellStart"/>
      <w:r w:rsidRPr="00D70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пескопроявлением</w:t>
      </w:r>
      <w:proofErr w:type="spellEnd"/>
      <w:r w:rsidRPr="00D70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ходе эксплуатации скважин</w:t>
      </w:r>
    </w:p>
    <w:p w:rsidR="00C75CBA" w:rsidRPr="00C75CBA" w:rsidRDefault="00C75CBA" w:rsidP="00C75C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большинстве случаев вынос песка в скважину объясняется действием сил трения и образующимся при этом градиентом давления при фильтрации жидкости в скважину. При высоких градиентах давления и недостаточной прочности цементного материала зерна песчаника отделяются от основного масса и выносятся.</w:t>
      </w:r>
    </w:p>
    <w:p w:rsidR="00C75CBA" w:rsidRPr="00D70FED" w:rsidRDefault="00C75CBA" w:rsidP="00C75C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на месторождении, проблему, связанную с песчаными пробками </w:t>
      </w:r>
      <w:proofErr w:type="gram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скважинах</w:t>
      </w:r>
      <w:proofErr w:type="gram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решается посредством промывки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призабойной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зоны скважины. Промывки песчаной пробки (далее 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П) проводилась в добывающей №51</w:t>
      </w:r>
      <w:r w:rsidR="004D7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скважине №56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 проведенной работы представлен ниже.</w:t>
      </w:r>
    </w:p>
    <w:p w:rsidR="0063595E" w:rsidRPr="0063595E" w:rsidRDefault="0063595E" w:rsidP="0063595E">
      <w:pPr>
        <w:widowControl w:val="0"/>
        <w:spacing w:after="0" w:line="240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Таблица </w:t>
      </w:r>
      <w:r w:rsidR="00D027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6.2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.2</w:t>
      </w:r>
      <w:r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Промывка песчаных пробок нефтя</w:t>
      </w:r>
      <w:r w:rsidR="00D70F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ных скважин по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м/р Гран</w:t>
      </w:r>
      <w:r w:rsidR="00D70F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</w:t>
      </w:r>
      <w:r w:rsidR="00D027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2018-2021</w:t>
      </w:r>
      <w:r w:rsidR="00D70F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г.г</w:t>
      </w: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2409"/>
        <w:gridCol w:w="993"/>
        <w:gridCol w:w="850"/>
        <w:gridCol w:w="567"/>
        <w:gridCol w:w="851"/>
        <w:gridCol w:w="567"/>
        <w:gridCol w:w="567"/>
        <w:gridCol w:w="567"/>
        <w:gridCol w:w="567"/>
        <w:gridCol w:w="532"/>
      </w:tblGrid>
      <w:tr w:rsidR="0012679A" w:rsidRPr="0063595E" w:rsidTr="0063595E">
        <w:trPr>
          <w:trHeight w:val="289"/>
        </w:trPr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5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6359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скв</w:t>
            </w:r>
            <w:proofErr w:type="spellEnd"/>
          </w:p>
        </w:tc>
        <w:tc>
          <w:tcPr>
            <w:tcW w:w="240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Краткое описание проделанных работ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</w:t>
            </w:r>
            <w:proofErr w:type="spellEnd"/>
          </w:p>
        </w:tc>
        <w:tc>
          <w:tcPr>
            <w:tcW w:w="3969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Дебит</w:t>
            </w:r>
          </w:p>
        </w:tc>
        <w:tc>
          <w:tcPr>
            <w:tcW w:w="109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Первонач.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сут.эффект</w:t>
            </w:r>
            <w:proofErr w:type="spellEnd"/>
          </w:p>
        </w:tc>
      </w:tr>
      <w:tr w:rsidR="0012679A" w:rsidRPr="0063595E" w:rsidTr="0063595E">
        <w:trPr>
          <w:trHeight w:val="289"/>
        </w:trPr>
        <w:tc>
          <w:tcPr>
            <w:tcW w:w="568" w:type="dxa"/>
            <w:vMerge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после</w:t>
            </w:r>
          </w:p>
        </w:tc>
        <w:tc>
          <w:tcPr>
            <w:tcW w:w="10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2679A" w:rsidRPr="0063595E" w:rsidTr="0063595E">
        <w:trPr>
          <w:trHeight w:val="405"/>
        </w:trPr>
        <w:tc>
          <w:tcPr>
            <w:tcW w:w="568" w:type="dxa"/>
            <w:vMerge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Жидк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м3/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обв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Нефть,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тн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Ж, м3/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Н,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тн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Ж, м3/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Н,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тн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</w:tr>
      <w:tr w:rsidR="0012679A" w:rsidRPr="0063595E" w:rsidTr="0063595E">
        <w:trPr>
          <w:trHeight w:val="289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63595E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635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635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6359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</w:tr>
      <w:tr w:rsidR="0012679A" w:rsidRPr="0063595E" w:rsidTr="0063595E">
        <w:trPr>
          <w:trHeight w:val="812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Промывка песчаной пробки в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647 - 675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12679A" w:rsidRPr="0012679A" w:rsidRDefault="0012679A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</w:tr>
      <w:tr w:rsidR="0081797B" w:rsidRPr="0063595E" w:rsidTr="0063595E">
        <w:trPr>
          <w:trHeight w:val="812"/>
        </w:trPr>
        <w:tc>
          <w:tcPr>
            <w:tcW w:w="5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Промывка песчаной пробки в </w:t>
            </w:r>
            <w:proofErr w:type="spellStart"/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</w:t>
            </w:r>
            <w:proofErr w:type="spellEnd"/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660-668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15.08.19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12679A" w:rsidRDefault="0081797B" w:rsidP="0053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7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81797B" w:rsidRPr="0063595E" w:rsidTr="0081797B">
        <w:trPr>
          <w:trHeight w:val="528"/>
        </w:trPr>
        <w:tc>
          <w:tcPr>
            <w:tcW w:w="568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97B" w:rsidRPr="0081797B" w:rsidRDefault="0081797B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97B" w:rsidRPr="0081797B" w:rsidRDefault="0081797B" w:rsidP="00126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179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40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97B" w:rsidRPr="0081797B" w:rsidRDefault="0081797B" w:rsidP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Промывка песчаной пробки в </w:t>
            </w:r>
            <w:proofErr w:type="spellStart"/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</w:t>
            </w:r>
            <w:proofErr w:type="spellEnd"/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             480- 490 м</w:t>
            </w: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 w:rsidP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22.08.20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5,4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32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:rsidR="0081797B" w:rsidRPr="0081797B" w:rsidRDefault="00817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79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</w:tr>
    </w:tbl>
    <w:p w:rsidR="0012679A" w:rsidRPr="0012679A" w:rsidRDefault="0012679A" w:rsidP="00C75C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75CBA" w:rsidRPr="00C75CBA" w:rsidRDefault="00C75CBA" w:rsidP="00C75CB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обработка горячей нефтью и обработка растворителями позволяют повысить производительность скважин. Промысловый опыт дает основание рекомендовать применение растворителей (газовый бензин,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гексановые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этилбензольные фракции), а также использование с растворителем небольшого количества ингибитора отложений, ускоряющим растворение АСПО. Эффективность того или иного ранее не применявшегося на месторождении реагента должна определяться в лабораторных условиях с последующим проведением опытно-промысловых испытаний.</w:t>
      </w:r>
    </w:p>
    <w:p w:rsidR="00C75CBA" w:rsidRPr="00C75CBA" w:rsidRDefault="00C75CBA" w:rsidP="00C75CB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много методов борьбы с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пескопроявлением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улучшение условий по обеспечению выноса поступающих из пласта частиц на поверхность – применение трубчатых штанг, спуск хвостовиков в пределы продуктивной зоны, подлив жидкости; для </w:t>
      </w:r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борьбы с абразивным износом подземного оборудования созданы всевозможные конструкции якорей,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поднасосных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фильтров и других защитных устройств; для крепления пород пласта в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призабойной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зоне скважин применяются химические,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химические и механические методы крепления и комбинации этих методов; наиболее простыми и доступными методами предотвращения поступления песка из пласта являются механические, к ним относятся оборудование скважин </w:t>
      </w:r>
      <w:proofErr w:type="spellStart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противопесочными</w:t>
      </w:r>
      <w:proofErr w:type="spellEnd"/>
      <w:r w:rsidRPr="00C75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вставными фильтрами или образование фильтров на забое путем намыва фильтрующих материалов.</w:t>
      </w:r>
    </w:p>
    <w:p w:rsidR="00C75CBA" w:rsidRPr="00C75CBA" w:rsidRDefault="00C75CBA" w:rsidP="00C75CBA">
      <w:pPr>
        <w:kinsoku w:val="0"/>
        <w:overflowPunct w:val="0"/>
        <w:autoSpaceDE w:val="0"/>
        <w:autoSpaceDN w:val="0"/>
        <w:adjustRightInd w:val="0"/>
        <w:spacing w:before="5"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CBA">
        <w:rPr>
          <w:rFonts w:ascii="Times New Roman" w:eastAsia="Calibri" w:hAnsi="Times New Roman" w:cs="Times New Roman"/>
          <w:sz w:val="24"/>
          <w:szCs w:val="24"/>
        </w:rPr>
        <w:t>Рекомендуемые мероприятия по предупреждению и борьбе с осложнениями при</w:t>
      </w:r>
    </w:p>
    <w:p w:rsidR="00C75CBA" w:rsidRDefault="00C75CBA" w:rsidP="00C75CBA">
      <w:pPr>
        <w:kinsoku w:val="0"/>
        <w:overflowPunct w:val="0"/>
        <w:autoSpaceDE w:val="0"/>
        <w:autoSpaceDN w:val="0"/>
        <w:adjustRightInd w:val="0"/>
        <w:spacing w:before="31"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CBA">
        <w:rPr>
          <w:rFonts w:ascii="Times New Roman" w:eastAsia="Calibri" w:hAnsi="Times New Roman" w:cs="Times New Roman"/>
          <w:sz w:val="24"/>
          <w:szCs w:val="24"/>
        </w:rPr>
        <w:t>эксплуатации ск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важин представлены в таблице </w:t>
      </w:r>
      <w:r w:rsidR="00D027DF">
        <w:rPr>
          <w:rFonts w:ascii="Times New Roman" w:eastAsia="Calibri" w:hAnsi="Times New Roman" w:cs="Times New Roman"/>
          <w:sz w:val="24"/>
          <w:szCs w:val="24"/>
        </w:rPr>
        <w:t>6.2</w:t>
      </w:r>
      <w:r w:rsidR="00F16B1B">
        <w:rPr>
          <w:rFonts w:ascii="Times New Roman" w:eastAsia="Calibri" w:hAnsi="Times New Roman" w:cs="Times New Roman"/>
          <w:sz w:val="24"/>
          <w:szCs w:val="24"/>
        </w:rPr>
        <w:t>.3</w:t>
      </w:r>
    </w:p>
    <w:p w:rsidR="00C75CBA" w:rsidRPr="00C75CBA" w:rsidRDefault="00D027DF" w:rsidP="00C75C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6.2</w:t>
      </w:r>
      <w:r w:rsidR="00C75CBA" w:rsidRPr="00C75C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.3 – Выполняемые и рекомендуемые мероприятия по предотвращению осложнений при эксплуатации скважин</w:t>
      </w:r>
    </w:p>
    <w:tbl>
      <w:tblPr>
        <w:tblStyle w:val="1"/>
        <w:tblW w:w="9306" w:type="dxa"/>
        <w:tblLayout w:type="fixed"/>
        <w:tblLook w:val="04A0" w:firstRow="1" w:lastRow="0" w:firstColumn="1" w:lastColumn="0" w:noHBand="0" w:noVBand="1"/>
      </w:tblPr>
      <w:tblGrid>
        <w:gridCol w:w="555"/>
        <w:gridCol w:w="1254"/>
        <w:gridCol w:w="2955"/>
        <w:gridCol w:w="1404"/>
        <w:gridCol w:w="1461"/>
        <w:gridCol w:w="1677"/>
      </w:tblGrid>
      <w:tr w:rsidR="00C75CBA" w:rsidRPr="00C75CBA" w:rsidTr="00EA65B7">
        <w:trPr>
          <w:trHeight w:val="837"/>
        </w:trPr>
        <w:tc>
          <w:tcPr>
            <w:tcW w:w="55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1254" w:type="dxa"/>
            <w:tcBorders>
              <w:top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Наименование периода</w:t>
            </w:r>
          </w:p>
        </w:tc>
        <w:tc>
          <w:tcPr>
            <w:tcW w:w="2955" w:type="dxa"/>
            <w:tcBorders>
              <w:top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Виды мероприятий</w:t>
            </w:r>
          </w:p>
        </w:tc>
        <w:tc>
          <w:tcPr>
            <w:tcW w:w="1404" w:type="dxa"/>
            <w:tcBorders>
              <w:top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Объемы применения </w:t>
            </w:r>
          </w:p>
        </w:tc>
        <w:tc>
          <w:tcPr>
            <w:tcW w:w="1461" w:type="dxa"/>
            <w:tcBorders>
              <w:top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167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75CBA" w:rsidRPr="00C75CBA" w:rsidTr="00EA65B7">
        <w:trPr>
          <w:trHeight w:val="372"/>
        </w:trPr>
        <w:tc>
          <w:tcPr>
            <w:tcW w:w="555" w:type="dxa"/>
            <w:tcBorders>
              <w:left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4" w:type="dxa"/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5" w:type="dxa"/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4" w:type="dxa"/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1" w:type="dxa"/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77" w:type="dxa"/>
            <w:tcBorders>
              <w:right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C75CBA" w:rsidRPr="00C75CBA" w:rsidTr="00F159D2">
        <w:trPr>
          <w:trHeight w:val="949"/>
        </w:trPr>
        <w:tc>
          <w:tcPr>
            <w:tcW w:w="555" w:type="dxa"/>
            <w:tcBorders>
              <w:left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4" w:type="dxa"/>
            <w:vMerge w:val="restart"/>
            <w:vAlign w:val="center"/>
          </w:tcPr>
          <w:p w:rsidR="00C75CBA" w:rsidRPr="00C75CBA" w:rsidRDefault="00F159D2" w:rsidP="00C75CB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1FE6">
              <w:rPr>
                <w:rFonts w:ascii="Times New Roman" w:hAnsi="Times New Roman" w:cs="Times New Roman"/>
                <w:sz w:val="20"/>
                <w:szCs w:val="20"/>
              </w:rPr>
              <w:t xml:space="preserve">На дату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2955" w:type="dxa"/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стволов скважины и колонны НКТ горячей нефтью или растворителями.</w:t>
            </w:r>
          </w:p>
        </w:tc>
        <w:tc>
          <w:tcPr>
            <w:tcW w:w="1404" w:type="dxa"/>
            <w:vAlign w:val="center"/>
          </w:tcPr>
          <w:p w:rsidR="00C75CBA" w:rsidRPr="00C75CBA" w:rsidRDefault="004A564F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скв</w:t>
            </w:r>
            <w:proofErr w:type="spellEnd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-операции</w:t>
            </w:r>
          </w:p>
        </w:tc>
        <w:tc>
          <w:tcPr>
            <w:tcW w:w="1461" w:type="dxa"/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1 раз в 1,5-3 месяца, согласно графика</w:t>
            </w:r>
          </w:p>
        </w:tc>
        <w:tc>
          <w:tcPr>
            <w:tcW w:w="1677" w:type="dxa"/>
            <w:tcBorders>
              <w:right w:val="double" w:sz="4" w:space="0" w:color="auto"/>
            </w:tcBorders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глубинное оборудование, выкидные линии</w:t>
            </w:r>
          </w:p>
        </w:tc>
      </w:tr>
      <w:tr w:rsidR="00C75CBA" w:rsidRPr="00C75CBA" w:rsidTr="00F159D2">
        <w:trPr>
          <w:trHeight w:val="439"/>
        </w:trPr>
        <w:tc>
          <w:tcPr>
            <w:tcW w:w="555" w:type="dxa"/>
            <w:tcBorders>
              <w:left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4" w:type="dxa"/>
            <w:vMerge/>
            <w:vAlign w:val="center"/>
          </w:tcPr>
          <w:p w:rsidR="00C75CBA" w:rsidRPr="00C75CBA" w:rsidRDefault="00C75CBA" w:rsidP="00C75CB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55" w:type="dxa"/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песчаных пробок нефтяных скважин</w:t>
            </w:r>
          </w:p>
        </w:tc>
        <w:tc>
          <w:tcPr>
            <w:tcW w:w="1404" w:type="dxa"/>
            <w:vAlign w:val="center"/>
          </w:tcPr>
          <w:p w:rsidR="00C75CBA" w:rsidRPr="00C75CBA" w:rsidRDefault="0063595E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скв</w:t>
            </w:r>
            <w:proofErr w:type="spellEnd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-операции</w:t>
            </w:r>
          </w:p>
        </w:tc>
        <w:tc>
          <w:tcPr>
            <w:tcW w:w="1461" w:type="dxa"/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согласно графика</w:t>
            </w:r>
          </w:p>
        </w:tc>
        <w:tc>
          <w:tcPr>
            <w:tcW w:w="1677" w:type="dxa"/>
            <w:tcBorders>
              <w:right w:val="double" w:sz="4" w:space="0" w:color="auto"/>
            </w:tcBorders>
            <w:vAlign w:val="center"/>
          </w:tcPr>
          <w:p w:rsidR="00C75CBA" w:rsidRPr="00C75CBA" w:rsidRDefault="004A564F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75CBA" w:rsidRPr="00C75CBA" w:rsidTr="00F159D2">
        <w:trPr>
          <w:trHeight w:val="703"/>
        </w:trPr>
        <w:tc>
          <w:tcPr>
            <w:tcW w:w="555" w:type="dxa"/>
            <w:tcBorders>
              <w:left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4" w:type="dxa"/>
            <w:vMerge w:val="restart"/>
            <w:vAlign w:val="center"/>
          </w:tcPr>
          <w:p w:rsidR="00C75CBA" w:rsidRPr="00C75CBA" w:rsidRDefault="00C75CBA" w:rsidP="00C75CB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На период прогноза</w:t>
            </w:r>
          </w:p>
        </w:tc>
        <w:tc>
          <w:tcPr>
            <w:tcW w:w="2955" w:type="dxa"/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стволов скважины и колонны НКТ горячей нефтью или растворителями</w:t>
            </w:r>
          </w:p>
        </w:tc>
        <w:tc>
          <w:tcPr>
            <w:tcW w:w="1404" w:type="dxa"/>
            <w:vAlign w:val="center"/>
          </w:tcPr>
          <w:p w:rsidR="00C75CBA" w:rsidRPr="00C75CBA" w:rsidRDefault="004A564F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12 </w:t>
            </w:r>
            <w:proofErr w:type="spellStart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скв</w:t>
            </w:r>
            <w:proofErr w:type="spellEnd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-операции</w:t>
            </w:r>
          </w:p>
        </w:tc>
        <w:tc>
          <w:tcPr>
            <w:tcW w:w="1461" w:type="dxa"/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1 раз в 1,5-3 месяца</w:t>
            </w:r>
          </w:p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согласно графика</w:t>
            </w:r>
          </w:p>
        </w:tc>
        <w:tc>
          <w:tcPr>
            <w:tcW w:w="1677" w:type="dxa"/>
            <w:tcBorders>
              <w:right w:val="double" w:sz="4" w:space="0" w:color="auto"/>
            </w:tcBorders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75CBA" w:rsidRPr="00C75CBA" w:rsidTr="00F159D2">
        <w:trPr>
          <w:trHeight w:val="551"/>
        </w:trPr>
        <w:tc>
          <w:tcPr>
            <w:tcW w:w="55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  <w:vMerge/>
            <w:tcBorders>
              <w:bottom w:val="double" w:sz="4" w:space="0" w:color="auto"/>
            </w:tcBorders>
            <w:vAlign w:val="center"/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double" w:sz="4" w:space="0" w:color="auto"/>
            </w:tcBorders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песчаных пробок нефтяных скважин</w:t>
            </w:r>
          </w:p>
        </w:tc>
        <w:tc>
          <w:tcPr>
            <w:tcW w:w="1404" w:type="dxa"/>
            <w:tcBorders>
              <w:bottom w:val="double" w:sz="4" w:space="0" w:color="auto"/>
            </w:tcBorders>
            <w:vAlign w:val="center"/>
          </w:tcPr>
          <w:p w:rsidR="00C75CBA" w:rsidRPr="00C75CBA" w:rsidRDefault="0063595E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скв</w:t>
            </w:r>
            <w:proofErr w:type="spellEnd"/>
            <w:r w:rsidR="00C75CBA"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-операции</w:t>
            </w:r>
          </w:p>
        </w:tc>
        <w:tc>
          <w:tcPr>
            <w:tcW w:w="1461" w:type="dxa"/>
            <w:tcBorders>
              <w:bottom w:val="double" w:sz="4" w:space="0" w:color="auto"/>
            </w:tcBorders>
            <w:vAlign w:val="center"/>
          </w:tcPr>
          <w:p w:rsidR="00C75CBA" w:rsidRPr="00C75CBA" w:rsidRDefault="00C75CBA" w:rsidP="00F159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согласно графика</w:t>
            </w:r>
          </w:p>
        </w:tc>
        <w:tc>
          <w:tcPr>
            <w:tcW w:w="1677" w:type="dxa"/>
            <w:tcBorders>
              <w:bottom w:val="double" w:sz="4" w:space="0" w:color="auto"/>
              <w:right w:val="double" w:sz="4" w:space="0" w:color="auto"/>
            </w:tcBorders>
          </w:tcPr>
          <w:p w:rsidR="00C75CBA" w:rsidRPr="00C75CBA" w:rsidRDefault="00C75CBA" w:rsidP="00C75CB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5CB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2F0348" w:rsidRDefault="002F0348">
      <w:bookmarkStart w:id="0" w:name="_GoBack"/>
      <w:bookmarkEnd w:id="0"/>
    </w:p>
    <w:sectPr w:rsidR="002F0348" w:rsidSect="00F30D10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371" w:rsidRDefault="00846371" w:rsidP="00C75CBA">
      <w:pPr>
        <w:spacing w:after="0" w:line="240" w:lineRule="auto"/>
      </w:pPr>
      <w:r>
        <w:separator/>
      </w:r>
    </w:p>
  </w:endnote>
  <w:endnote w:type="continuationSeparator" w:id="0">
    <w:p w:rsidR="00846371" w:rsidRDefault="00846371" w:rsidP="00C7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5B7" w:rsidRPr="00C75CBA" w:rsidRDefault="00EA65B7" w:rsidP="00C75CBA">
    <w:pPr>
      <w:pBdr>
        <w:top w:val="single" w:sz="4" w:space="1" w:color="auto"/>
      </w:pBd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C75CBA">
      <w:rPr>
        <w:rFonts w:ascii="Times New Roman" w:eastAsia="Times New Roman" w:hAnsi="Times New Roman" w:cs="Times New Roman"/>
        <w:sz w:val="14"/>
        <w:szCs w:val="14"/>
        <w:lang w:eastAsia="ru-RU"/>
      </w:rPr>
      <w:t xml:space="preserve"> </w:t>
    </w:r>
    <w:r>
      <w:rPr>
        <w:rFonts w:ascii="Times New Roman" w:hAnsi="Times New Roman"/>
        <w:caps/>
        <w:sz w:val="14"/>
        <w:szCs w:val="14"/>
      </w:rPr>
      <w:t xml:space="preserve">ПРОЕКТ </w:t>
    </w:r>
    <w:r w:rsidRPr="005F6875">
      <w:rPr>
        <w:rFonts w:ascii="Times New Roman" w:hAnsi="Times New Roman"/>
        <w:caps/>
        <w:sz w:val="14"/>
        <w:szCs w:val="14"/>
      </w:rPr>
      <w:t xml:space="preserve">РАЗРАБОТКИ </w:t>
    </w:r>
    <w:r w:rsidRPr="00C75CBA">
      <w:rPr>
        <w:rFonts w:ascii="Times New Roman" w:eastAsia="Times New Roman" w:hAnsi="Times New Roman" w:cs="Times New Roman"/>
        <w:sz w:val="14"/>
        <w:szCs w:val="14"/>
        <w:lang w:eastAsia="ru-RU"/>
      </w:rPr>
      <w:t>МЕСТОРОЖДЕНИЯ ГРАН</w:t>
    </w:r>
  </w:p>
  <w:p w:rsidR="00EA65B7" w:rsidRPr="00C75CBA" w:rsidRDefault="00EA65B7" w:rsidP="00C75C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371" w:rsidRDefault="00846371" w:rsidP="00C75CBA">
      <w:pPr>
        <w:spacing w:after="0" w:line="240" w:lineRule="auto"/>
      </w:pPr>
      <w:r>
        <w:separator/>
      </w:r>
    </w:p>
  </w:footnote>
  <w:footnote w:type="continuationSeparator" w:id="0">
    <w:p w:rsidR="00846371" w:rsidRDefault="00846371" w:rsidP="00C7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5B7" w:rsidRPr="00597BA4" w:rsidRDefault="00EA65B7" w:rsidP="00597BA4">
    <w:pPr>
      <w:pStyle w:val="a3"/>
      <w:framePr w:wrap="around" w:vAnchor="text" w:hAnchor="margin" w:xAlign="right" w:y="1"/>
      <w:rPr>
        <w:rStyle w:val="a8"/>
        <w:rFonts w:ascii="Times New Roman" w:hAnsi="Times New Roman" w:cs="Times New Roman"/>
        <w:sz w:val="20"/>
      </w:rPr>
    </w:pPr>
  </w:p>
  <w:p w:rsidR="00EA65B7" w:rsidRPr="00DD16C8" w:rsidRDefault="00EA65B7" w:rsidP="00D027DF">
    <w:pPr>
      <w:pStyle w:val="10"/>
      <w:pBdr>
        <w:bottom w:val="single" w:sz="4" w:space="1" w:color="auto"/>
      </w:pBdr>
      <w:spacing w:before="0" w:after="0" w:line="240" w:lineRule="auto"/>
      <w:ind w:right="340" w:firstLine="0"/>
      <w:rPr>
        <w:b w:val="0"/>
        <w:sz w:val="14"/>
      </w:rPr>
    </w:pPr>
    <w:r>
      <w:rPr>
        <w:b w:val="0"/>
        <w:sz w:val="14"/>
      </w:rPr>
      <w:t>ТЕХНИКА И ТЕХНОЛОГИЯ ДОБЫЧИ НЕФТИ И ГАЗА</w:t>
    </w:r>
  </w:p>
  <w:p w:rsidR="00EA65B7" w:rsidRDefault="00EA65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5CBA"/>
    <w:rsid w:val="0012679A"/>
    <w:rsid w:val="002237A7"/>
    <w:rsid w:val="00225A4B"/>
    <w:rsid w:val="002F0348"/>
    <w:rsid w:val="003D3AF6"/>
    <w:rsid w:val="004A564F"/>
    <w:rsid w:val="004D72FE"/>
    <w:rsid w:val="00597BA4"/>
    <w:rsid w:val="0063595E"/>
    <w:rsid w:val="00704C2E"/>
    <w:rsid w:val="0081797B"/>
    <w:rsid w:val="00846371"/>
    <w:rsid w:val="0092633B"/>
    <w:rsid w:val="00971989"/>
    <w:rsid w:val="009C70A0"/>
    <w:rsid w:val="009E79F4"/>
    <w:rsid w:val="009F1199"/>
    <w:rsid w:val="00AD730E"/>
    <w:rsid w:val="00B13B6D"/>
    <w:rsid w:val="00B649A3"/>
    <w:rsid w:val="00C75CBA"/>
    <w:rsid w:val="00C95FF7"/>
    <w:rsid w:val="00CB0272"/>
    <w:rsid w:val="00CE11A9"/>
    <w:rsid w:val="00D027DF"/>
    <w:rsid w:val="00D60203"/>
    <w:rsid w:val="00D70FED"/>
    <w:rsid w:val="00D74AAF"/>
    <w:rsid w:val="00DB7DAE"/>
    <w:rsid w:val="00E57ADD"/>
    <w:rsid w:val="00EA65B7"/>
    <w:rsid w:val="00ED2C2D"/>
    <w:rsid w:val="00F159D2"/>
    <w:rsid w:val="00F16B1B"/>
    <w:rsid w:val="00F3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5B74E1F6"/>
  <w15:docId w15:val="{D4FEA9D8-04C2-45F1-805C-02EBC955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 Знак9,h,Знак9,Знак,Знак9 Знак Знак, Знак, Знак9 Знак Знак"/>
    <w:basedOn w:val="a"/>
    <w:link w:val="a4"/>
    <w:uiPriority w:val="99"/>
    <w:unhideWhenUsed/>
    <w:rsid w:val="00C7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Title Up Знак, Знак9 Знак,h Знак,Знак9 Знак,Знак Знак,Знак9 Знак Знак Знак, Знак Знак, Знак9 Знак Знак Знак"/>
    <w:basedOn w:val="a0"/>
    <w:link w:val="a3"/>
    <w:uiPriority w:val="99"/>
    <w:rsid w:val="00C75CBA"/>
  </w:style>
  <w:style w:type="paragraph" w:styleId="a5">
    <w:name w:val="footer"/>
    <w:basedOn w:val="a"/>
    <w:link w:val="a6"/>
    <w:uiPriority w:val="99"/>
    <w:unhideWhenUsed/>
    <w:rsid w:val="00C7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5CBA"/>
  </w:style>
  <w:style w:type="table" w:customStyle="1" w:styleId="1">
    <w:name w:val="Сетка таблицы1"/>
    <w:basedOn w:val="a1"/>
    <w:next w:val="a7"/>
    <w:uiPriority w:val="39"/>
    <w:rsid w:val="00C7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C7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597BA4"/>
  </w:style>
  <w:style w:type="paragraph" w:customStyle="1" w:styleId="10">
    <w:name w:val="Тлек_заголовок_1"/>
    <w:basedOn w:val="a"/>
    <w:link w:val="11"/>
    <w:qFormat/>
    <w:rsid w:val="00D027DF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aps/>
      <w:color w:val="000000"/>
      <w:sz w:val="24"/>
      <w:szCs w:val="24"/>
    </w:rPr>
  </w:style>
  <w:style w:type="character" w:customStyle="1" w:styleId="11">
    <w:name w:val="Тлек_заголовок_1 Знак"/>
    <w:link w:val="10"/>
    <w:rsid w:val="00D027DF"/>
    <w:rPr>
      <w:rFonts w:ascii="Times New Roman" w:eastAsia="Times New Roman" w:hAnsi="Times New Roman" w:cs="Times New Roman"/>
      <w:b/>
      <w:bCs/>
      <w:cap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1802</Words>
  <Characters>10277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6.2  Мероприятия по предупреждению и борьбе с осложнениями при эксплуатации сква</vt:lpstr>
    </vt:vector>
  </TitlesOfParts>
  <Company/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Насипкалиев</dc:creator>
  <cp:lastModifiedBy>Садықбек Қайрат Есенбайұлы</cp:lastModifiedBy>
  <cp:revision>5</cp:revision>
  <dcterms:created xsi:type="dcterms:W3CDTF">2022-03-12T10:54:00Z</dcterms:created>
  <dcterms:modified xsi:type="dcterms:W3CDTF">2022-05-16T08:55:00Z</dcterms:modified>
</cp:coreProperties>
</file>